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FCDD" w14:textId="77777777" w:rsidR="004B3202" w:rsidRDefault="00442180" w:rsidP="00442180">
      <w:pPr>
        <w:rPr>
          <w:sz w:val="18"/>
          <w:szCs w:val="18"/>
        </w:rPr>
      </w:pPr>
      <w:r w:rsidRPr="0080438A">
        <w:rPr>
          <w:sz w:val="18"/>
          <w:szCs w:val="18"/>
        </w:rPr>
        <w:t xml:space="preserve">After it has been determined to move forward with an industry sponsored clinical study. The first step is to receive </w:t>
      </w:r>
      <w:r w:rsidR="007E7791" w:rsidRPr="0080438A">
        <w:rPr>
          <w:sz w:val="18"/>
          <w:szCs w:val="18"/>
        </w:rPr>
        <w:t>the “</w:t>
      </w:r>
      <w:r w:rsidRPr="0080438A">
        <w:rPr>
          <w:sz w:val="18"/>
          <w:szCs w:val="18"/>
        </w:rPr>
        <w:t xml:space="preserve">startup” </w:t>
      </w:r>
      <w:r w:rsidR="007E7791" w:rsidRPr="0080438A">
        <w:rPr>
          <w:sz w:val="18"/>
          <w:szCs w:val="18"/>
        </w:rPr>
        <w:t>package from</w:t>
      </w:r>
      <w:r w:rsidRPr="0080438A">
        <w:rPr>
          <w:sz w:val="18"/>
          <w:szCs w:val="18"/>
        </w:rPr>
        <w:t xml:space="preserve"> sponsor.  This includes protocol, draft, Contract draft, budget draft, </w:t>
      </w:r>
      <w:r w:rsidR="004B3202" w:rsidRPr="0080438A">
        <w:rPr>
          <w:sz w:val="18"/>
          <w:szCs w:val="18"/>
        </w:rPr>
        <w:t>IB,</w:t>
      </w:r>
      <w:r w:rsidR="004B3202">
        <w:rPr>
          <w:sz w:val="18"/>
          <w:szCs w:val="18"/>
        </w:rPr>
        <w:t xml:space="preserve"> </w:t>
      </w:r>
      <w:r w:rsidRPr="0080438A">
        <w:rPr>
          <w:sz w:val="18"/>
          <w:szCs w:val="18"/>
        </w:rPr>
        <w:t xml:space="preserve">regulatory docs such as </w:t>
      </w:r>
      <w:r w:rsidR="004B3202" w:rsidRPr="0080438A">
        <w:rPr>
          <w:sz w:val="18"/>
          <w:szCs w:val="18"/>
        </w:rPr>
        <w:t>1572,</w:t>
      </w:r>
      <w:r w:rsidR="004B3202">
        <w:rPr>
          <w:sz w:val="18"/>
          <w:szCs w:val="18"/>
        </w:rPr>
        <w:t xml:space="preserve"> etc.</w:t>
      </w:r>
      <w:r w:rsidR="004B3202" w:rsidRPr="0080438A">
        <w:rPr>
          <w:sz w:val="18"/>
          <w:szCs w:val="18"/>
        </w:rPr>
        <w:t xml:space="preserve">) </w:t>
      </w:r>
      <w:r w:rsidR="004B3202">
        <w:rPr>
          <w:sz w:val="18"/>
          <w:szCs w:val="18"/>
        </w:rPr>
        <w:t xml:space="preserve">Once this has been received, you have the needed information to begin start up activities.  </w:t>
      </w:r>
    </w:p>
    <w:p w14:paraId="1E8C86AD" w14:textId="77777777" w:rsidR="00442180" w:rsidRPr="00217D82" w:rsidRDefault="004B3202" w:rsidP="00442180">
      <w:pPr>
        <w:rPr>
          <w:b/>
          <w:i/>
          <w:sz w:val="18"/>
          <w:szCs w:val="18"/>
        </w:rPr>
      </w:pPr>
      <w:r w:rsidRPr="00217D82">
        <w:rPr>
          <w:b/>
          <w:i/>
          <w:sz w:val="18"/>
          <w:szCs w:val="18"/>
        </w:rPr>
        <w:t xml:space="preserve">This checklist </w:t>
      </w:r>
      <w:r w:rsidR="00217D82" w:rsidRPr="00217D82">
        <w:rPr>
          <w:b/>
          <w:i/>
          <w:sz w:val="18"/>
          <w:szCs w:val="18"/>
        </w:rPr>
        <w:t>was created to help department staff</w:t>
      </w:r>
      <w:r w:rsidRPr="00217D82">
        <w:rPr>
          <w:b/>
          <w:i/>
          <w:sz w:val="18"/>
          <w:szCs w:val="18"/>
        </w:rPr>
        <w:t xml:space="preserve"> </w:t>
      </w:r>
      <w:r w:rsidR="00217D82" w:rsidRPr="00217D82">
        <w:rPr>
          <w:b/>
          <w:i/>
          <w:sz w:val="18"/>
          <w:szCs w:val="18"/>
        </w:rPr>
        <w:t>ensure all</w:t>
      </w:r>
      <w:r w:rsidRPr="00217D82">
        <w:rPr>
          <w:b/>
          <w:i/>
          <w:sz w:val="18"/>
          <w:szCs w:val="18"/>
        </w:rPr>
        <w:t xml:space="preserve"> items required to be submitted to SPA</w:t>
      </w:r>
      <w:r w:rsidR="00217D82" w:rsidRPr="00217D82">
        <w:rPr>
          <w:b/>
          <w:i/>
          <w:sz w:val="18"/>
          <w:szCs w:val="18"/>
        </w:rPr>
        <w:t xml:space="preserve"> for CTA projects</w:t>
      </w:r>
      <w:r w:rsidRPr="00217D82">
        <w:rPr>
          <w:b/>
          <w:i/>
          <w:sz w:val="18"/>
          <w:szCs w:val="18"/>
        </w:rPr>
        <w:t xml:space="preserve"> have been completed. </w:t>
      </w:r>
      <w:r w:rsidR="00217D82" w:rsidRPr="00217D82">
        <w:rPr>
          <w:b/>
          <w:i/>
          <w:sz w:val="18"/>
          <w:szCs w:val="18"/>
        </w:rPr>
        <w:t xml:space="preserve">  </w:t>
      </w:r>
    </w:p>
    <w:p w14:paraId="68EDFA47" w14:textId="77777777" w:rsidR="00442180" w:rsidRPr="00C97EEA" w:rsidRDefault="0061485F" w:rsidP="00442180">
      <w:pPr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6C67C" wp14:editId="786952C4">
                <wp:simplePos x="0" y="0"/>
                <wp:positionH relativeFrom="column">
                  <wp:posOffset>-184150</wp:posOffset>
                </wp:positionH>
                <wp:positionV relativeFrom="paragraph">
                  <wp:posOffset>-635</wp:posOffset>
                </wp:positionV>
                <wp:extent cx="241300" cy="266700"/>
                <wp:effectExtent l="19050" t="1905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1E7B98" w14:textId="77777777" w:rsidR="003155F8" w:rsidRDefault="003155F8" w:rsidP="003155F8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6C67C" id="Rectangle 6" o:spid="_x0000_s1026" style="position:absolute;margin-left:-14.5pt;margin-top:-.05pt;width:19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" filled="f" strokecolor="black [3213]" strokeweight="3pt">
                <v:textbox>
                  <w:txbxContent>
                    <w:p w14:paraId="671E7B98" w14:textId="77777777" w:rsidR="003155F8" w:rsidRDefault="003155F8" w:rsidP="003155F8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 w:rsidR="00442180">
        <w:t xml:space="preserve">     </w:t>
      </w:r>
      <w:r w:rsidR="00442180" w:rsidRPr="0047274D">
        <w:rPr>
          <w:sz w:val="21"/>
          <w:szCs w:val="21"/>
        </w:rPr>
        <w:t xml:space="preserve">     </w:t>
      </w:r>
      <w:r w:rsidR="00442180" w:rsidRPr="00C97EEA">
        <w:rPr>
          <w:b/>
          <w:bCs/>
          <w:sz w:val="21"/>
          <w:szCs w:val="21"/>
        </w:rPr>
        <w:t>Submit protocol to IRB</w:t>
      </w:r>
    </w:p>
    <w:p w14:paraId="0CA7771F" w14:textId="77777777" w:rsidR="00442180" w:rsidRPr="0047274D" w:rsidRDefault="0080438A" w:rsidP="00442180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7274D">
        <w:rPr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93398" wp14:editId="3F5D3AF1">
                <wp:simplePos x="0" y="0"/>
                <wp:positionH relativeFrom="column">
                  <wp:posOffset>-184150</wp:posOffset>
                </wp:positionH>
                <wp:positionV relativeFrom="paragraph">
                  <wp:posOffset>268605</wp:posOffset>
                </wp:positionV>
                <wp:extent cx="241300" cy="266700"/>
                <wp:effectExtent l="19050" t="1905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F2C6" id="Rectangle 2" o:spid="_x0000_s1026" style="position:absolute;margin-left:-14.5pt;margin-top:21.15pt;width:1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" filled="f" strokecolor="black [3213]" strokeweight="3pt"/>
            </w:pict>
          </mc:Fallback>
        </mc:AlternateContent>
      </w:r>
      <w:r w:rsidR="00442180" w:rsidRPr="0047274D">
        <w:rPr>
          <w:sz w:val="21"/>
          <w:szCs w:val="21"/>
        </w:rPr>
        <w:t>This initiates the coverage analysis build process in SPA.</w:t>
      </w:r>
    </w:p>
    <w:p w14:paraId="0F91A75F" w14:textId="1320C7DC" w:rsidR="007E7791" w:rsidRPr="0047274D" w:rsidRDefault="007E7791" w:rsidP="0080438A">
      <w:pPr>
        <w:ind w:left="400"/>
        <w:rPr>
          <w:sz w:val="21"/>
          <w:szCs w:val="21"/>
        </w:rPr>
      </w:pPr>
      <w:r w:rsidRPr="00C97EEA">
        <w:rPr>
          <w:b/>
          <w:bCs/>
          <w:sz w:val="21"/>
          <w:szCs w:val="21"/>
        </w:rPr>
        <w:t xml:space="preserve">Submit new START Agreement record to </w:t>
      </w:r>
      <w:r w:rsidR="00C97EEA" w:rsidRPr="00C97EEA">
        <w:rPr>
          <w:b/>
          <w:bCs/>
          <w:sz w:val="21"/>
          <w:szCs w:val="21"/>
        </w:rPr>
        <w:t>SPA</w:t>
      </w:r>
      <w:r w:rsidR="00C97EEA">
        <w:rPr>
          <w:sz w:val="21"/>
          <w:szCs w:val="21"/>
        </w:rPr>
        <w:t>. You can s</w:t>
      </w:r>
      <w:r w:rsidRPr="0047274D">
        <w:rPr>
          <w:sz w:val="21"/>
          <w:szCs w:val="21"/>
        </w:rPr>
        <w:t xml:space="preserve">ubmit the contract via START by creating a </w:t>
      </w:r>
      <w:r w:rsidR="00C97EEA">
        <w:rPr>
          <w:sz w:val="21"/>
          <w:szCs w:val="21"/>
        </w:rPr>
        <w:t>n</w:t>
      </w:r>
      <w:r w:rsidRPr="0047274D">
        <w:rPr>
          <w:sz w:val="21"/>
          <w:szCs w:val="21"/>
        </w:rPr>
        <w:t>ew</w:t>
      </w:r>
      <w:r w:rsidR="00C97EEA">
        <w:rPr>
          <w:sz w:val="21"/>
          <w:szCs w:val="21"/>
        </w:rPr>
        <w:t xml:space="preserve"> </w:t>
      </w:r>
      <w:r w:rsidRPr="0047274D">
        <w:rPr>
          <w:sz w:val="21"/>
          <w:szCs w:val="21"/>
        </w:rPr>
        <w:t xml:space="preserve">Agreement record. (Select type “Clinical Trial Agreement”) </w:t>
      </w:r>
      <w:r w:rsidR="00C97EEA">
        <w:rPr>
          <w:sz w:val="21"/>
          <w:szCs w:val="21"/>
        </w:rPr>
        <w:t>or create new from within Proposal Record.</w:t>
      </w:r>
    </w:p>
    <w:p w14:paraId="61CEA972" w14:textId="77777777" w:rsidR="0061485F" w:rsidRPr="0047274D" w:rsidRDefault="0061485F" w:rsidP="0061485F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47274D">
        <w:rPr>
          <w:sz w:val="21"/>
          <w:szCs w:val="21"/>
        </w:rPr>
        <w:t>Complete Agreement Information Form</w:t>
      </w:r>
    </w:p>
    <w:p w14:paraId="5047749F" w14:textId="77777777" w:rsidR="0061485F" w:rsidRPr="0047274D" w:rsidRDefault="0061485F" w:rsidP="0061485F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47274D">
        <w:rPr>
          <w:sz w:val="21"/>
          <w:szCs w:val="21"/>
        </w:rPr>
        <w:t>Upload a copy of the draft agreement provided by sponsor</w:t>
      </w:r>
    </w:p>
    <w:p w14:paraId="6051DB6A" w14:textId="77777777" w:rsidR="0061485F" w:rsidRPr="0047274D" w:rsidRDefault="0061485F" w:rsidP="0061485F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47274D">
        <w:rPr>
          <w:sz w:val="21"/>
          <w:szCs w:val="21"/>
        </w:rPr>
        <w:t>Upload a copy of Protocol</w:t>
      </w:r>
    </w:p>
    <w:p w14:paraId="3F5B61AD" w14:textId="48C666EA" w:rsidR="007E7791" w:rsidRPr="0047274D" w:rsidRDefault="00C97EEA" w:rsidP="007E7791">
      <w:pPr>
        <w:pStyle w:val="ListParagraph"/>
        <w:numPr>
          <w:ilvl w:val="2"/>
          <w:numId w:val="2"/>
        </w:numPr>
        <w:rPr>
          <w:i/>
          <w:sz w:val="21"/>
          <w:szCs w:val="21"/>
        </w:rPr>
      </w:pPr>
      <w:r w:rsidRPr="0047274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D9B80" wp14:editId="11B3B09C">
                <wp:simplePos x="0" y="0"/>
                <wp:positionH relativeFrom="column">
                  <wp:posOffset>-180975</wp:posOffset>
                </wp:positionH>
                <wp:positionV relativeFrom="paragraph">
                  <wp:posOffset>760095</wp:posOffset>
                </wp:positionV>
                <wp:extent cx="241300" cy="266700"/>
                <wp:effectExtent l="19050" t="1905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5D596" id="Rectangle 1" o:spid="_x0000_s1026" style="position:absolute;margin-left:-14.25pt;margin-top:59.85pt;width:19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" filled="f" strokecolor="windowText" strokeweight="3pt"/>
            </w:pict>
          </mc:Fallback>
        </mc:AlternateContent>
      </w:r>
      <w:r w:rsidR="007E7791" w:rsidRPr="0047274D">
        <w:rPr>
          <w:i/>
          <w:sz w:val="21"/>
          <w:szCs w:val="21"/>
        </w:rPr>
        <w:t>NOTE</w:t>
      </w:r>
      <w:r w:rsidR="00B6138E" w:rsidRPr="0047274D">
        <w:rPr>
          <w:i/>
          <w:sz w:val="21"/>
          <w:szCs w:val="21"/>
        </w:rPr>
        <w:t>S- 1.  SPA</w:t>
      </w:r>
      <w:r w:rsidR="007E7791" w:rsidRPr="0047274D">
        <w:rPr>
          <w:i/>
          <w:sz w:val="21"/>
          <w:szCs w:val="21"/>
        </w:rPr>
        <w:t xml:space="preserve"> </w:t>
      </w:r>
      <w:r w:rsidR="00BC1640" w:rsidRPr="0047274D">
        <w:rPr>
          <w:i/>
          <w:sz w:val="21"/>
          <w:szCs w:val="21"/>
        </w:rPr>
        <w:t>gives the</w:t>
      </w:r>
      <w:r w:rsidR="007E7791" w:rsidRPr="0047274D">
        <w:rPr>
          <w:i/>
          <w:sz w:val="21"/>
          <w:szCs w:val="21"/>
        </w:rPr>
        <w:t xml:space="preserve"> highest priority to those agreements in which the proposal record has been submitted</w:t>
      </w:r>
      <w:r w:rsidR="003155F8" w:rsidRPr="0047274D">
        <w:rPr>
          <w:i/>
          <w:sz w:val="21"/>
          <w:szCs w:val="21"/>
        </w:rPr>
        <w:t>. This</w:t>
      </w:r>
      <w:r w:rsidR="00BC1640" w:rsidRPr="0047274D">
        <w:rPr>
          <w:i/>
          <w:sz w:val="21"/>
          <w:szCs w:val="21"/>
        </w:rPr>
        <w:t xml:space="preserve"> ensures SPA prioritization is in line with departmental priorities</w:t>
      </w:r>
      <w:r w:rsidR="00B6138E" w:rsidRPr="0047274D">
        <w:rPr>
          <w:i/>
          <w:sz w:val="21"/>
          <w:szCs w:val="21"/>
        </w:rPr>
        <w:t xml:space="preserve">. 2. You </w:t>
      </w:r>
      <w:r w:rsidRPr="0047274D">
        <w:rPr>
          <w:i/>
          <w:sz w:val="21"/>
          <w:szCs w:val="21"/>
        </w:rPr>
        <w:t>can start</w:t>
      </w:r>
      <w:r w:rsidR="00B6138E" w:rsidRPr="0047274D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a new</w:t>
      </w:r>
      <w:r w:rsidR="00B6138E" w:rsidRPr="0047274D">
        <w:rPr>
          <w:i/>
          <w:sz w:val="21"/>
          <w:szCs w:val="21"/>
        </w:rPr>
        <w:t xml:space="preserve"> Proposal record and create the</w:t>
      </w:r>
      <w:r>
        <w:rPr>
          <w:i/>
          <w:sz w:val="21"/>
          <w:szCs w:val="21"/>
        </w:rPr>
        <w:t xml:space="preserve"> new</w:t>
      </w:r>
      <w:r w:rsidR="00B6138E" w:rsidRPr="0047274D">
        <w:rPr>
          <w:i/>
          <w:sz w:val="21"/>
          <w:szCs w:val="21"/>
        </w:rPr>
        <w:t xml:space="preserve"> CTA AGT record from within the “Linkages” tab</w:t>
      </w:r>
      <w:r>
        <w:rPr>
          <w:i/>
          <w:sz w:val="21"/>
          <w:szCs w:val="21"/>
        </w:rPr>
        <w:t>. This will automatically link records.</w:t>
      </w:r>
    </w:p>
    <w:p w14:paraId="2FBF0077" w14:textId="4EAC2F48" w:rsidR="0061485F" w:rsidRPr="0047274D" w:rsidRDefault="0061485F" w:rsidP="00681519">
      <w:pPr>
        <w:ind w:left="450" w:firstLine="50"/>
        <w:rPr>
          <w:sz w:val="21"/>
          <w:szCs w:val="21"/>
        </w:rPr>
      </w:pPr>
      <w:r w:rsidRPr="00D95FEC">
        <w:rPr>
          <w:b/>
          <w:bCs/>
          <w:sz w:val="21"/>
          <w:szCs w:val="21"/>
          <w:u w:val="single"/>
        </w:rPr>
        <w:t>Billing Coverage analysis has been completed</w:t>
      </w:r>
      <w:r w:rsidRPr="0047274D">
        <w:rPr>
          <w:sz w:val="21"/>
          <w:szCs w:val="21"/>
        </w:rPr>
        <w:t xml:space="preserve"> (SPA staff</w:t>
      </w:r>
      <w:r w:rsidR="00C97EEA">
        <w:rPr>
          <w:sz w:val="21"/>
          <w:szCs w:val="21"/>
        </w:rPr>
        <w:t xml:space="preserve"> initiates this step</w:t>
      </w:r>
      <w:r w:rsidR="00BB7DB6">
        <w:rPr>
          <w:sz w:val="21"/>
          <w:szCs w:val="21"/>
        </w:rPr>
        <w:t>. SPA will</w:t>
      </w:r>
      <w:r w:rsidRPr="0047274D">
        <w:rPr>
          <w:sz w:val="21"/>
          <w:szCs w:val="21"/>
        </w:rPr>
        <w:t xml:space="preserve"> send notification when CA is completed and uploaded into START</w:t>
      </w:r>
      <w:r w:rsidR="007E7791" w:rsidRPr="0047274D">
        <w:rPr>
          <w:sz w:val="21"/>
          <w:szCs w:val="21"/>
        </w:rPr>
        <w:t>. (See Coverage analysis process here</w:t>
      </w:r>
      <w:r w:rsidR="0080438A" w:rsidRPr="0047274D">
        <w:rPr>
          <w:sz w:val="21"/>
          <w:szCs w:val="21"/>
        </w:rPr>
        <w:t xml:space="preserve"> </w:t>
      </w:r>
      <w:hyperlink r:id="rId7" w:history="1">
        <w:r w:rsidR="0080438A" w:rsidRPr="0047274D">
          <w:rPr>
            <w:rStyle w:val="Hyperlink"/>
            <w:sz w:val="21"/>
            <w:szCs w:val="21"/>
          </w:rPr>
          <w:t>Link</w:t>
        </w:r>
      </w:hyperlink>
      <w:r w:rsidR="0080438A" w:rsidRPr="0047274D">
        <w:rPr>
          <w:sz w:val="21"/>
          <w:szCs w:val="21"/>
        </w:rPr>
        <w:t xml:space="preserve"> )</w:t>
      </w:r>
    </w:p>
    <w:p w14:paraId="4D81AE2B" w14:textId="73FDD568" w:rsidR="0061485F" w:rsidRPr="00BB7DB6" w:rsidRDefault="0061485F" w:rsidP="00BB7DB6">
      <w:pPr>
        <w:ind w:left="450"/>
        <w:rPr>
          <w:sz w:val="21"/>
          <w:szCs w:val="21"/>
        </w:rPr>
      </w:pPr>
      <w:r w:rsidRPr="00D95FEC">
        <w:rPr>
          <w:b/>
          <w:bCs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D1908" wp14:editId="51861CE0">
                <wp:simplePos x="0" y="0"/>
                <wp:positionH relativeFrom="column">
                  <wp:posOffset>-184150</wp:posOffset>
                </wp:positionH>
                <wp:positionV relativeFrom="paragraph">
                  <wp:posOffset>31750</wp:posOffset>
                </wp:positionV>
                <wp:extent cx="241300" cy="266700"/>
                <wp:effectExtent l="19050" t="1905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053C" id="Rectangle 8" o:spid="_x0000_s1026" style="position:absolute;margin-left:-14.5pt;margin-top:2.5pt;width:1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" filled="f" strokecolor="black [3213]" strokeweight="3pt"/>
            </w:pict>
          </mc:Fallback>
        </mc:AlternateContent>
      </w:r>
      <w:r w:rsidRPr="00D95FEC">
        <w:rPr>
          <w:b/>
          <w:bCs/>
          <w:sz w:val="21"/>
          <w:szCs w:val="21"/>
          <w:u w:val="single"/>
        </w:rPr>
        <w:t>Internal budget/cost analysis</w:t>
      </w:r>
      <w:r w:rsidRPr="0047274D">
        <w:rPr>
          <w:sz w:val="21"/>
          <w:szCs w:val="21"/>
        </w:rPr>
        <w:t xml:space="preserve"> has been completed by department staff (</w:t>
      </w:r>
      <w:r w:rsidR="00BB7DB6">
        <w:rPr>
          <w:sz w:val="21"/>
          <w:szCs w:val="21"/>
        </w:rPr>
        <w:t xml:space="preserve">for training on how to complete go to this </w:t>
      </w:r>
      <w:hyperlink r:id="rId8" w:anchor="/lessons/t3SA1aZ6uvJydHfubR7bSxouQbRxCP7w" w:history="1">
        <w:r w:rsidR="00BB7DB6">
          <w:rPr>
            <w:rStyle w:val="Hyperlink"/>
            <w:sz w:val="21"/>
            <w:szCs w:val="21"/>
          </w:rPr>
          <w:t>Link</w:t>
        </w:r>
      </w:hyperlink>
      <w:r w:rsidR="00BB7DB6">
        <w:rPr>
          <w:sz w:val="21"/>
          <w:szCs w:val="21"/>
        </w:rPr>
        <w:t xml:space="preserve"> ). </w:t>
      </w:r>
      <w:r w:rsidR="00BB7DB6" w:rsidRPr="00BB7DB6">
        <w:rPr>
          <w:sz w:val="21"/>
          <w:szCs w:val="21"/>
        </w:rPr>
        <w:t>Be sure to check work using “</w:t>
      </w:r>
      <w:r w:rsidR="0047274D" w:rsidRPr="00BB7DB6">
        <w:rPr>
          <w:sz w:val="21"/>
          <w:szCs w:val="21"/>
        </w:rPr>
        <w:t xml:space="preserve">Budget review checklist </w:t>
      </w:r>
      <w:r w:rsidR="00BB7DB6" w:rsidRPr="00BB7DB6">
        <w:rPr>
          <w:sz w:val="21"/>
          <w:szCs w:val="21"/>
        </w:rPr>
        <w:t>“</w:t>
      </w:r>
      <w:r w:rsidRPr="00BB7DB6">
        <w:rPr>
          <w:sz w:val="21"/>
          <w:szCs w:val="21"/>
        </w:rPr>
        <w:t>document</w:t>
      </w:r>
      <w:r w:rsidR="0047274D" w:rsidRPr="00BB7DB6">
        <w:rPr>
          <w:sz w:val="21"/>
          <w:szCs w:val="21"/>
        </w:rPr>
        <w:t>s</w:t>
      </w:r>
      <w:r w:rsidRPr="00BB7DB6">
        <w:rPr>
          <w:sz w:val="21"/>
          <w:szCs w:val="21"/>
        </w:rPr>
        <w:t xml:space="preserve"> under “</w:t>
      </w:r>
      <w:r w:rsidR="00BB7DB6" w:rsidRPr="00BB7DB6">
        <w:rPr>
          <w:sz w:val="21"/>
          <w:szCs w:val="21"/>
        </w:rPr>
        <w:t>Training Guidance&gt;Internal Training&gt; Clinical Trials” on SPA website</w:t>
      </w:r>
      <w:r w:rsidR="0080438A" w:rsidRPr="00BB7DB6">
        <w:rPr>
          <w:sz w:val="21"/>
          <w:szCs w:val="21"/>
        </w:rPr>
        <w:t>.)</w:t>
      </w:r>
      <w:r w:rsidR="00BB7DB6" w:rsidRPr="00BB7DB6">
        <w:t xml:space="preserve"> </w:t>
      </w:r>
      <w:hyperlink r:id="rId9" w:history="1">
        <w:r w:rsidR="00BB7DB6" w:rsidRPr="00BB7DB6">
          <w:rPr>
            <w:rStyle w:val="Hyperlink"/>
            <w:sz w:val="21"/>
            <w:szCs w:val="21"/>
          </w:rPr>
          <w:t>Link</w:t>
        </w:r>
      </w:hyperlink>
      <w:r w:rsidR="00BB7DB6">
        <w:rPr>
          <w:sz w:val="21"/>
          <w:szCs w:val="21"/>
        </w:rPr>
        <w:t xml:space="preserve">   </w:t>
      </w:r>
    </w:p>
    <w:p w14:paraId="030398C4" w14:textId="487DD84F" w:rsidR="0080438A" w:rsidRPr="0047274D" w:rsidRDefault="007E7791" w:rsidP="0080438A">
      <w:pPr>
        <w:ind w:left="450"/>
        <w:rPr>
          <w:sz w:val="21"/>
          <w:szCs w:val="21"/>
        </w:rPr>
      </w:pPr>
      <w:r w:rsidRPr="0047274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E9678" wp14:editId="47AF2BF2">
                <wp:simplePos x="0" y="0"/>
                <wp:positionH relativeFrom="column">
                  <wp:posOffset>-184150</wp:posOffset>
                </wp:positionH>
                <wp:positionV relativeFrom="paragraph">
                  <wp:posOffset>56515</wp:posOffset>
                </wp:positionV>
                <wp:extent cx="241300" cy="266700"/>
                <wp:effectExtent l="19050" t="1905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50CC1" id="Rectangle 9" o:spid="_x0000_s1026" style="position:absolute;margin-left:-14.5pt;margin-top:4.45pt;width:19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" filled="f" strokecolor="black [3213]" strokeweight="3pt"/>
            </w:pict>
          </mc:Fallback>
        </mc:AlternateContent>
      </w:r>
      <w:r w:rsidR="00BB7DB6">
        <w:rPr>
          <w:sz w:val="21"/>
          <w:szCs w:val="21"/>
        </w:rPr>
        <w:t xml:space="preserve"> </w:t>
      </w:r>
      <w:r w:rsidR="0061485F" w:rsidRPr="00D95FEC">
        <w:rPr>
          <w:b/>
          <w:bCs/>
          <w:sz w:val="21"/>
          <w:szCs w:val="21"/>
          <w:u w:val="single"/>
        </w:rPr>
        <w:t>Budget negotiations with Sponsor</w:t>
      </w:r>
      <w:r w:rsidR="0061485F" w:rsidRPr="0047274D">
        <w:rPr>
          <w:sz w:val="21"/>
          <w:szCs w:val="21"/>
        </w:rPr>
        <w:t xml:space="preserve"> </w:t>
      </w:r>
      <w:r w:rsidR="00D95FEC" w:rsidRPr="00D95FEC">
        <w:rPr>
          <w:sz w:val="21"/>
          <w:szCs w:val="21"/>
        </w:rPr>
        <w:t xml:space="preserve">After above step is completed, </w:t>
      </w:r>
      <w:r w:rsidR="00D95FEC">
        <w:rPr>
          <w:sz w:val="21"/>
          <w:szCs w:val="21"/>
        </w:rPr>
        <w:t>Negotiate and finalize budget and</w:t>
      </w:r>
      <w:r w:rsidR="00C97EEA">
        <w:rPr>
          <w:sz w:val="21"/>
          <w:szCs w:val="21"/>
        </w:rPr>
        <w:t xml:space="preserve"> payment terms reviewed</w:t>
      </w:r>
      <w:r w:rsidR="0061485F" w:rsidRPr="0047274D">
        <w:rPr>
          <w:sz w:val="21"/>
          <w:szCs w:val="21"/>
        </w:rPr>
        <w:t xml:space="preserve"> by the PI/Study team.</w:t>
      </w:r>
      <w:r w:rsidR="0080438A" w:rsidRPr="0047274D">
        <w:rPr>
          <w:sz w:val="21"/>
          <w:szCs w:val="21"/>
        </w:rPr>
        <w:t xml:space="preserve"> </w:t>
      </w:r>
      <w:r w:rsidR="00D95FEC">
        <w:rPr>
          <w:sz w:val="21"/>
          <w:szCs w:val="21"/>
        </w:rPr>
        <w:t>(Check when complete.)</w:t>
      </w:r>
    </w:p>
    <w:p w14:paraId="43420FBF" w14:textId="77777777" w:rsidR="00B6138E" w:rsidRPr="0047274D" w:rsidRDefault="007E7791" w:rsidP="00B6138E">
      <w:pPr>
        <w:ind w:left="450"/>
        <w:rPr>
          <w:sz w:val="21"/>
          <w:szCs w:val="21"/>
        </w:rPr>
      </w:pPr>
      <w:r w:rsidRPr="00D95FEC">
        <w:rPr>
          <w:b/>
          <w:bCs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5BF27" wp14:editId="76F305A5">
                <wp:simplePos x="0" y="0"/>
                <wp:positionH relativeFrom="column">
                  <wp:posOffset>-184150</wp:posOffset>
                </wp:positionH>
                <wp:positionV relativeFrom="paragraph">
                  <wp:posOffset>13335</wp:posOffset>
                </wp:positionV>
                <wp:extent cx="241300" cy="266700"/>
                <wp:effectExtent l="19050" t="1905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1B1B" id="Rectangle 5" o:spid="_x0000_s1026" style="position:absolute;margin-left:-14.5pt;margin-top:1.05pt;width:1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" filled="f" strokecolor="black [3213]" strokeweight="3pt"/>
            </w:pict>
          </mc:Fallback>
        </mc:AlternateContent>
      </w:r>
      <w:r w:rsidRPr="00D95FEC">
        <w:rPr>
          <w:b/>
          <w:bCs/>
          <w:sz w:val="21"/>
          <w:szCs w:val="21"/>
          <w:u w:val="single"/>
        </w:rPr>
        <w:t>Submit a Proposal Development (PD) Record to SPA</w:t>
      </w:r>
      <w:r w:rsidRPr="0047274D">
        <w:rPr>
          <w:sz w:val="21"/>
          <w:szCs w:val="21"/>
        </w:rPr>
        <w:t xml:space="preserve"> for budget review and approval</w:t>
      </w:r>
    </w:p>
    <w:p w14:paraId="6EC4D2FD" w14:textId="77777777" w:rsidR="00EA5E8A" w:rsidRDefault="007E7791" w:rsidP="007E7791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7274D">
        <w:rPr>
          <w:sz w:val="21"/>
          <w:szCs w:val="21"/>
        </w:rPr>
        <w:t xml:space="preserve">See START guidance document “Clinical Trials-PD </w:t>
      </w:r>
      <w:r w:rsidR="00B6138E" w:rsidRPr="0047274D">
        <w:rPr>
          <w:sz w:val="21"/>
          <w:szCs w:val="21"/>
        </w:rPr>
        <w:t>“</w:t>
      </w:r>
      <w:hyperlink r:id="rId10" w:history="1">
        <w:r w:rsidRPr="0047274D">
          <w:rPr>
            <w:rStyle w:val="Hyperlink"/>
            <w:sz w:val="21"/>
            <w:szCs w:val="21"/>
          </w:rPr>
          <w:t xml:space="preserve"> Link</w:t>
        </w:r>
      </w:hyperlink>
      <w:r w:rsidR="0080438A" w:rsidRPr="0047274D">
        <w:rPr>
          <w:sz w:val="21"/>
          <w:szCs w:val="21"/>
        </w:rPr>
        <w:t xml:space="preserve">  </w:t>
      </w:r>
      <w:r w:rsidR="00B6138E" w:rsidRPr="0047274D">
        <w:rPr>
          <w:sz w:val="21"/>
          <w:szCs w:val="21"/>
        </w:rPr>
        <w:t xml:space="preserve">for creating Proposal Record. </w:t>
      </w:r>
      <w:r w:rsidR="0080438A" w:rsidRPr="0047274D">
        <w:rPr>
          <w:sz w:val="21"/>
          <w:szCs w:val="21"/>
        </w:rPr>
        <w:t xml:space="preserve">This document provides step by step instructions. </w:t>
      </w:r>
    </w:p>
    <w:p w14:paraId="26BDF486" w14:textId="25F86B93" w:rsidR="007E7791" w:rsidRPr="00EA5E8A" w:rsidRDefault="00EA5E8A" w:rsidP="002E42E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A5E8A">
        <w:rPr>
          <w:sz w:val="21"/>
          <w:szCs w:val="21"/>
        </w:rPr>
        <w:t xml:space="preserve">Link to CTA AGT record and CA AGT record (if applicable) </w:t>
      </w:r>
      <w:r w:rsidR="0080438A" w:rsidRPr="00EA5E8A">
        <w:rPr>
          <w:sz w:val="21"/>
          <w:szCs w:val="21"/>
        </w:rPr>
        <w:t xml:space="preserve"> </w:t>
      </w:r>
    </w:p>
    <w:p w14:paraId="4C298423" w14:textId="1B06DFF7" w:rsidR="0047274D" w:rsidRDefault="0080438A" w:rsidP="0080438A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7274D">
        <w:rPr>
          <w:sz w:val="21"/>
          <w:szCs w:val="21"/>
        </w:rPr>
        <w:t>The PD record must be completed accurately and data entered into all tabs</w:t>
      </w:r>
      <w:r w:rsidR="00D95FEC">
        <w:rPr>
          <w:sz w:val="21"/>
          <w:szCs w:val="21"/>
        </w:rPr>
        <w:t xml:space="preserve">* </w:t>
      </w:r>
      <w:r w:rsidR="00D95FEC" w:rsidRPr="00993025">
        <w:rPr>
          <w:sz w:val="16"/>
          <w:szCs w:val="16"/>
        </w:rPr>
        <w:t xml:space="preserve">IRB </w:t>
      </w:r>
      <w:r w:rsidR="00993025" w:rsidRPr="00993025">
        <w:rPr>
          <w:sz w:val="16"/>
          <w:szCs w:val="16"/>
        </w:rPr>
        <w:t>link</w:t>
      </w:r>
      <w:r w:rsidR="00993025">
        <w:rPr>
          <w:sz w:val="16"/>
          <w:szCs w:val="16"/>
        </w:rPr>
        <w:t xml:space="preserve">ed/ </w:t>
      </w:r>
      <w:r w:rsidR="00993025" w:rsidRPr="00993025">
        <w:rPr>
          <w:sz w:val="16"/>
          <w:szCs w:val="16"/>
        </w:rPr>
        <w:t>Assurance</w:t>
      </w:r>
      <w:r w:rsidR="00D95FEC" w:rsidRPr="00993025">
        <w:rPr>
          <w:sz w:val="16"/>
          <w:szCs w:val="16"/>
        </w:rPr>
        <w:t>.</w:t>
      </w:r>
      <w:r w:rsidRPr="0047274D">
        <w:rPr>
          <w:sz w:val="21"/>
          <w:szCs w:val="21"/>
        </w:rPr>
        <w:t xml:space="preserve"> </w:t>
      </w:r>
    </w:p>
    <w:p w14:paraId="2E5B4EDF" w14:textId="4C798E57" w:rsidR="0047274D" w:rsidRDefault="0047274D" w:rsidP="0080438A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7274D">
        <w:rPr>
          <w:sz w:val="21"/>
          <w:szCs w:val="21"/>
        </w:rPr>
        <w:t>Upload required documents.</w:t>
      </w:r>
    </w:p>
    <w:p w14:paraId="605A78F7" w14:textId="6A474B88" w:rsidR="0080438A" w:rsidRPr="0047274D" w:rsidRDefault="0080438A" w:rsidP="0047274D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47274D">
        <w:rPr>
          <w:sz w:val="21"/>
          <w:szCs w:val="21"/>
        </w:rPr>
        <w:t>The following documents must be uploaded under the attachments tab:</w:t>
      </w:r>
    </w:p>
    <w:p w14:paraId="09DF9618" w14:textId="77777777" w:rsidR="0080438A" w:rsidRPr="0047274D" w:rsidRDefault="0080438A" w:rsidP="0080438A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7274D">
        <w:rPr>
          <w:sz w:val="21"/>
          <w:szCs w:val="21"/>
        </w:rPr>
        <w:t>Copy of Final budget with sponsor</w:t>
      </w:r>
    </w:p>
    <w:p w14:paraId="618DBB95" w14:textId="302D0881" w:rsidR="0080438A" w:rsidRDefault="0080438A" w:rsidP="0080438A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7274D">
        <w:rPr>
          <w:sz w:val="21"/>
          <w:szCs w:val="21"/>
        </w:rPr>
        <w:t>Copy of the CAIB tool with completed internal budget information</w:t>
      </w:r>
    </w:p>
    <w:p w14:paraId="43FD75AF" w14:textId="55B417F8" w:rsidR="00D95FEC" w:rsidRPr="00D95FEC" w:rsidRDefault="00D95FEC" w:rsidP="0080438A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Documentation of costs if applicable (MHH preliminary budget/approval letter, </w:t>
      </w:r>
      <w:r w:rsidRPr="00D95FEC">
        <w:rPr>
          <w:sz w:val="21"/>
          <w:szCs w:val="21"/>
        </w:rPr>
        <w:t>Quest pricing for research</w:t>
      </w:r>
      <w:r w:rsidR="00993025">
        <w:rPr>
          <w:sz w:val="21"/>
          <w:szCs w:val="21"/>
        </w:rPr>
        <w:t xml:space="preserve"> labs</w:t>
      </w:r>
      <w:r w:rsidRPr="00D95FEC">
        <w:rPr>
          <w:sz w:val="21"/>
          <w:szCs w:val="21"/>
        </w:rPr>
        <w:t>. Note UTP Research fee schedule and MHH mini chargemaster are in IRIS help and do not need to be attached.)</w:t>
      </w:r>
    </w:p>
    <w:p w14:paraId="15622B0F" w14:textId="5BDD3072" w:rsidR="0080438A" w:rsidRPr="00D95FEC" w:rsidRDefault="0080438A" w:rsidP="0080438A">
      <w:pPr>
        <w:pStyle w:val="ListParagraph"/>
        <w:numPr>
          <w:ilvl w:val="1"/>
          <w:numId w:val="5"/>
        </w:numPr>
        <w:rPr>
          <w:i/>
          <w:sz w:val="18"/>
          <w:szCs w:val="18"/>
        </w:rPr>
      </w:pPr>
      <w:r w:rsidRPr="00D95FEC">
        <w:rPr>
          <w:i/>
          <w:color w:val="FF0000"/>
          <w:sz w:val="18"/>
          <w:szCs w:val="18"/>
        </w:rPr>
        <w:t xml:space="preserve">The above </w:t>
      </w:r>
      <w:r w:rsidR="00C97EEA" w:rsidRPr="00D95FEC">
        <w:rPr>
          <w:i/>
          <w:color w:val="FF0000"/>
          <w:sz w:val="18"/>
          <w:szCs w:val="18"/>
        </w:rPr>
        <w:t>3</w:t>
      </w:r>
      <w:r w:rsidRPr="00D95FEC">
        <w:rPr>
          <w:i/>
          <w:color w:val="FF0000"/>
          <w:sz w:val="18"/>
          <w:szCs w:val="18"/>
        </w:rPr>
        <w:t xml:space="preserve"> documents are </w:t>
      </w:r>
      <w:r w:rsidRPr="00993025">
        <w:rPr>
          <w:b/>
          <w:bCs/>
          <w:i/>
          <w:color w:val="FF0000"/>
          <w:sz w:val="18"/>
          <w:szCs w:val="18"/>
          <w:u w:val="single"/>
        </w:rPr>
        <w:t>required</w:t>
      </w:r>
      <w:r w:rsidRPr="00D95FEC">
        <w:rPr>
          <w:i/>
          <w:color w:val="FF0000"/>
          <w:sz w:val="18"/>
          <w:szCs w:val="18"/>
        </w:rPr>
        <w:t xml:space="preserve"> for budget approval</w:t>
      </w:r>
      <w:r w:rsidR="00BC1640" w:rsidRPr="00D95FEC">
        <w:rPr>
          <w:i/>
          <w:color w:val="FF0000"/>
          <w:sz w:val="18"/>
          <w:szCs w:val="18"/>
        </w:rPr>
        <w:t xml:space="preserve"> </w:t>
      </w:r>
    </w:p>
    <w:p w14:paraId="721A8F73" w14:textId="4BC1FB8F" w:rsidR="0080438A" w:rsidRPr="0047274D" w:rsidRDefault="00106004" w:rsidP="0080438A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7274D">
        <w:rPr>
          <w:sz w:val="21"/>
          <w:szCs w:val="21"/>
        </w:rPr>
        <w:t>Approved ICF</w:t>
      </w:r>
      <w:r w:rsidR="00993025">
        <w:rPr>
          <w:sz w:val="21"/>
          <w:szCs w:val="21"/>
        </w:rPr>
        <w:t xml:space="preserve"> and </w:t>
      </w:r>
      <w:r w:rsidR="00993025" w:rsidRPr="0047274D">
        <w:rPr>
          <w:sz w:val="21"/>
          <w:szCs w:val="21"/>
        </w:rPr>
        <w:t>Copy of IRB approval</w:t>
      </w:r>
      <w:r w:rsidR="00993025">
        <w:rPr>
          <w:sz w:val="21"/>
          <w:szCs w:val="21"/>
        </w:rPr>
        <w:t xml:space="preserve"> letters </w:t>
      </w:r>
      <w:r w:rsidR="00993025" w:rsidRPr="0047274D">
        <w:rPr>
          <w:sz w:val="21"/>
          <w:szCs w:val="21"/>
        </w:rPr>
        <w:t>(</w:t>
      </w:r>
      <w:r w:rsidR="00993025">
        <w:rPr>
          <w:sz w:val="21"/>
          <w:szCs w:val="21"/>
        </w:rPr>
        <w:t>see * below)</w:t>
      </w:r>
    </w:p>
    <w:p w14:paraId="7FFE2709" w14:textId="57D803A7" w:rsidR="0080438A" w:rsidRPr="0047274D" w:rsidRDefault="0080438A" w:rsidP="0080438A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7274D">
        <w:rPr>
          <w:sz w:val="21"/>
          <w:szCs w:val="21"/>
        </w:rPr>
        <w:t xml:space="preserve">RCOI </w:t>
      </w:r>
      <w:r w:rsidR="00B6138E" w:rsidRPr="0047274D">
        <w:rPr>
          <w:sz w:val="21"/>
          <w:szCs w:val="21"/>
        </w:rPr>
        <w:t xml:space="preserve">Smart </w:t>
      </w:r>
      <w:r w:rsidRPr="0047274D">
        <w:rPr>
          <w:sz w:val="21"/>
          <w:szCs w:val="21"/>
        </w:rPr>
        <w:t>form</w:t>
      </w:r>
      <w:r w:rsidR="00B6138E" w:rsidRPr="0047274D">
        <w:rPr>
          <w:sz w:val="21"/>
          <w:szCs w:val="21"/>
        </w:rPr>
        <w:t xml:space="preserve"> within START must be signed by all Key Personnel (This is not uploaded)</w:t>
      </w:r>
      <w:r w:rsidRPr="0047274D">
        <w:rPr>
          <w:sz w:val="21"/>
          <w:szCs w:val="21"/>
        </w:rPr>
        <w:t xml:space="preserve"> </w:t>
      </w:r>
    </w:p>
    <w:p w14:paraId="542C72A3" w14:textId="060F1A12" w:rsidR="0080438A" w:rsidRPr="00D95FEC" w:rsidRDefault="0080438A" w:rsidP="0080438A">
      <w:pPr>
        <w:pStyle w:val="ListParagraph"/>
        <w:numPr>
          <w:ilvl w:val="1"/>
          <w:numId w:val="5"/>
        </w:numPr>
        <w:rPr>
          <w:color w:val="FF0000"/>
          <w:sz w:val="16"/>
          <w:szCs w:val="16"/>
        </w:rPr>
      </w:pPr>
      <w:r w:rsidRPr="00D95FEC">
        <w:rPr>
          <w:i/>
          <w:iCs/>
          <w:color w:val="FF0000"/>
          <w:sz w:val="16"/>
          <w:szCs w:val="16"/>
        </w:rPr>
        <w:t xml:space="preserve">The above </w:t>
      </w:r>
      <w:r w:rsidR="00EA5E8A">
        <w:rPr>
          <w:i/>
          <w:iCs/>
          <w:color w:val="FF0000"/>
          <w:sz w:val="16"/>
          <w:szCs w:val="16"/>
        </w:rPr>
        <w:t>5</w:t>
      </w:r>
      <w:r w:rsidRPr="00D95FEC">
        <w:rPr>
          <w:i/>
          <w:iCs/>
          <w:color w:val="FF0000"/>
          <w:sz w:val="16"/>
          <w:szCs w:val="16"/>
        </w:rPr>
        <w:t xml:space="preserve"> documents are required</w:t>
      </w:r>
      <w:r w:rsidR="00BC1640" w:rsidRPr="00D95FEC">
        <w:rPr>
          <w:i/>
          <w:iCs/>
          <w:color w:val="FF0000"/>
          <w:sz w:val="16"/>
          <w:szCs w:val="16"/>
        </w:rPr>
        <w:t xml:space="preserve"> to be uploaded</w:t>
      </w:r>
      <w:r w:rsidR="00B6138E" w:rsidRPr="00D95FEC">
        <w:rPr>
          <w:i/>
          <w:iCs/>
          <w:color w:val="FF0000"/>
          <w:sz w:val="16"/>
          <w:szCs w:val="16"/>
        </w:rPr>
        <w:t xml:space="preserve"> and/or completed</w:t>
      </w:r>
      <w:r w:rsidR="00BC1640" w:rsidRPr="00D95FEC">
        <w:rPr>
          <w:i/>
          <w:iCs/>
          <w:color w:val="FF0000"/>
          <w:sz w:val="16"/>
          <w:szCs w:val="16"/>
        </w:rPr>
        <w:t xml:space="preserve"> for</w:t>
      </w:r>
      <w:r w:rsidRPr="00D95FEC">
        <w:rPr>
          <w:i/>
          <w:iCs/>
          <w:color w:val="FF0000"/>
          <w:sz w:val="16"/>
          <w:szCs w:val="16"/>
        </w:rPr>
        <w:t xml:space="preserve"> proposal record finalization- routing contract for approval</w:t>
      </w:r>
      <w:r w:rsidRPr="00D95FEC">
        <w:rPr>
          <w:color w:val="FF0000"/>
          <w:sz w:val="16"/>
          <w:szCs w:val="16"/>
        </w:rPr>
        <w:t>.</w:t>
      </w:r>
    </w:p>
    <w:sectPr w:rsidR="0080438A" w:rsidRPr="00D95FE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FFA9" w14:textId="77777777" w:rsidR="009E2D36" w:rsidRDefault="009E2D36" w:rsidP="007E7791">
      <w:pPr>
        <w:spacing w:after="0" w:line="240" w:lineRule="auto"/>
      </w:pPr>
      <w:r>
        <w:separator/>
      </w:r>
    </w:p>
  </w:endnote>
  <w:endnote w:type="continuationSeparator" w:id="0">
    <w:p w14:paraId="207B86F9" w14:textId="77777777" w:rsidR="009E2D36" w:rsidRDefault="009E2D36" w:rsidP="007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A90B" w14:textId="4DCBE569" w:rsidR="00217D82" w:rsidRPr="00217D82" w:rsidRDefault="00EA5E8A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When UTH</w:t>
    </w:r>
    <w:r w:rsidR="00993025">
      <w:rPr>
        <w:i/>
        <w:sz w:val="20"/>
        <w:szCs w:val="20"/>
      </w:rPr>
      <w:t xml:space="preserve">ealth CPHS HSC ID </w:t>
    </w:r>
    <w:r>
      <w:rPr>
        <w:i/>
        <w:sz w:val="20"/>
        <w:szCs w:val="20"/>
      </w:rPr>
      <w:t>is</w:t>
    </w:r>
    <w:r w:rsidR="00993025">
      <w:rPr>
        <w:i/>
        <w:sz w:val="20"/>
        <w:szCs w:val="20"/>
      </w:rPr>
      <w:t xml:space="preserve"> linked under “</w:t>
    </w:r>
    <w:r>
      <w:rPr>
        <w:i/>
        <w:sz w:val="20"/>
        <w:szCs w:val="20"/>
      </w:rPr>
      <w:t xml:space="preserve">Assurances “section of Proposal record in START, </w:t>
    </w:r>
    <w:r w:rsidR="00993025">
      <w:rPr>
        <w:i/>
        <w:sz w:val="20"/>
        <w:szCs w:val="20"/>
      </w:rPr>
      <w:t>you can skip uploading copy of</w:t>
    </w:r>
    <w:r>
      <w:rPr>
        <w:i/>
        <w:sz w:val="20"/>
        <w:szCs w:val="20"/>
      </w:rPr>
      <w:t xml:space="preserve"> IRB approval</w:t>
    </w:r>
    <w:r w:rsidR="00993025">
      <w:rPr>
        <w:i/>
        <w:sz w:val="20"/>
        <w:szCs w:val="20"/>
      </w:rPr>
      <w:t xml:space="preserve"> letter. If outside IRB is IRB of record, you must upload copy of approval letter (s).  Always upload copy of final Main ICF.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A30E" w14:textId="77777777" w:rsidR="009E2D36" w:rsidRDefault="009E2D36" w:rsidP="007E7791">
      <w:pPr>
        <w:spacing w:after="0" w:line="240" w:lineRule="auto"/>
      </w:pPr>
      <w:r>
        <w:separator/>
      </w:r>
    </w:p>
  </w:footnote>
  <w:footnote w:type="continuationSeparator" w:id="0">
    <w:p w14:paraId="28533159" w14:textId="77777777" w:rsidR="009E2D36" w:rsidRDefault="009E2D36" w:rsidP="007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5685" w14:textId="77777777" w:rsidR="007E7791" w:rsidRPr="003155F8" w:rsidRDefault="007E7791" w:rsidP="007E7791">
    <w:pPr>
      <w:pStyle w:val="Header"/>
      <w:jc w:val="center"/>
      <w:rPr>
        <w:b/>
        <w:sz w:val="40"/>
        <w:szCs w:val="40"/>
        <w:u w:val="single"/>
      </w:rPr>
    </w:pPr>
    <w:r w:rsidRPr="003155F8">
      <w:rPr>
        <w:b/>
        <w:sz w:val="40"/>
        <w:szCs w:val="40"/>
        <w:u w:val="single"/>
      </w:rPr>
      <w:t>CHECKLIST</w:t>
    </w:r>
  </w:p>
  <w:p w14:paraId="0BF81CF0" w14:textId="77777777" w:rsidR="007E7791" w:rsidRPr="003155F8" w:rsidRDefault="007E7791" w:rsidP="007E7791">
    <w:pPr>
      <w:pStyle w:val="Header"/>
      <w:jc w:val="center"/>
      <w:rPr>
        <w:b/>
        <w:sz w:val="40"/>
        <w:szCs w:val="40"/>
      </w:rPr>
    </w:pPr>
    <w:r w:rsidRPr="003155F8">
      <w:rPr>
        <w:b/>
        <w:sz w:val="40"/>
        <w:szCs w:val="40"/>
      </w:rPr>
      <w:t xml:space="preserve">   Submitting Clinical Trial Agreements to SPA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58EB"/>
    <w:multiLevelType w:val="hybridMultilevel"/>
    <w:tmpl w:val="54965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C285E"/>
    <w:multiLevelType w:val="hybridMultilevel"/>
    <w:tmpl w:val="9E6066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DD55E41"/>
    <w:multiLevelType w:val="hybridMultilevel"/>
    <w:tmpl w:val="595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E32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181C4B"/>
    <w:multiLevelType w:val="hybridMultilevel"/>
    <w:tmpl w:val="2C4C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80"/>
    <w:rsid w:val="00106004"/>
    <w:rsid w:val="00217D82"/>
    <w:rsid w:val="003155F8"/>
    <w:rsid w:val="0042189A"/>
    <w:rsid w:val="00442180"/>
    <w:rsid w:val="0047274D"/>
    <w:rsid w:val="004B3202"/>
    <w:rsid w:val="004B3467"/>
    <w:rsid w:val="005C1FB6"/>
    <w:rsid w:val="0061485F"/>
    <w:rsid w:val="00681519"/>
    <w:rsid w:val="006B7DD7"/>
    <w:rsid w:val="007058B6"/>
    <w:rsid w:val="007D70EE"/>
    <w:rsid w:val="007E7791"/>
    <w:rsid w:val="0080438A"/>
    <w:rsid w:val="00993025"/>
    <w:rsid w:val="009E2D36"/>
    <w:rsid w:val="00A81C0C"/>
    <w:rsid w:val="00B6138E"/>
    <w:rsid w:val="00BB63EF"/>
    <w:rsid w:val="00BB7DB6"/>
    <w:rsid w:val="00BC1640"/>
    <w:rsid w:val="00C64A0B"/>
    <w:rsid w:val="00C97EEA"/>
    <w:rsid w:val="00D95FEC"/>
    <w:rsid w:val="00DA7C9E"/>
    <w:rsid w:val="00E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E6CF"/>
  <w15:chartTrackingRefBased/>
  <w15:docId w15:val="{AB6373C2-8F1F-46C1-B000-97D942E6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91"/>
  </w:style>
  <w:style w:type="paragraph" w:styleId="Footer">
    <w:name w:val="footer"/>
    <w:basedOn w:val="Normal"/>
    <w:link w:val="FooterChar"/>
    <w:uiPriority w:val="99"/>
    <w:unhideWhenUsed/>
    <w:rsid w:val="007E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91"/>
  </w:style>
  <w:style w:type="character" w:styleId="Strong">
    <w:name w:val="Strong"/>
    <w:basedOn w:val="DefaultParagraphFont"/>
    <w:uiPriority w:val="22"/>
    <w:qFormat/>
    <w:rsid w:val="00681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e.articulate.com/share/ZNvLzntySUxMJe53XQAxLT288sWc1CJ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h.edu/sponsored-projects-administration/plan-propose/clinical-trials-research/coverage-analysi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th.edu/sponsored-projects-administration/tools-resources/system-access-guides/uthealth-st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h.edu/sponsored-projects-administration/training-guidance/internal-training/clinical-research-t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Kristin</dc:creator>
  <cp:keywords/>
  <dc:description/>
  <cp:lastModifiedBy>Felder-Robinson, Monekia</cp:lastModifiedBy>
  <cp:revision>2</cp:revision>
  <cp:lastPrinted>2022-10-08T01:43:00Z</cp:lastPrinted>
  <dcterms:created xsi:type="dcterms:W3CDTF">2025-11-12T11:57:00Z</dcterms:created>
  <dcterms:modified xsi:type="dcterms:W3CDTF">2025-11-12T11:57:00Z</dcterms:modified>
</cp:coreProperties>
</file>